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BC46" w14:textId="59411764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b/>
          <w:bCs/>
          <w:color w:val="3F4141"/>
        </w:rPr>
      </w:pPr>
      <w:r w:rsidRPr="00845B5C">
        <w:rPr>
          <w:b/>
          <w:bCs/>
          <w:color w:val="3F4141"/>
        </w:rPr>
        <w:t xml:space="preserve"> Требования к кадровым условиям реализации Программы.</w:t>
      </w:r>
    </w:p>
    <w:p w14:paraId="3316F189" w14:textId="77777777" w:rsid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</w:t>
      </w:r>
    </w:p>
    <w:p w14:paraId="6A7BA836" w14:textId="123CEEFC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</w:t>
      </w:r>
      <w:r w:rsidRPr="00845B5C">
        <w:rPr>
          <w:color w:val="3F4141"/>
        </w:rPr>
        <w:t xml:space="preserve">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14:paraId="24F11734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14:paraId="5D9922CF" w14:textId="77777777" w:rsid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</w:p>
    <w:p w14:paraId="5013FBD5" w14:textId="67E044D1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    </w:t>
      </w:r>
      <w:r w:rsidRPr="00845B5C">
        <w:rPr>
          <w:color w:val="3F4141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14:paraId="29B10155" w14:textId="06F63C2B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    </w:t>
      </w:r>
      <w:r w:rsidRPr="00845B5C">
        <w:rPr>
          <w:color w:val="3F4141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14:paraId="068CE363" w14:textId="496FD448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   </w:t>
      </w:r>
      <w:r w:rsidRPr="00845B5C">
        <w:rPr>
          <w:color w:val="3F4141"/>
        </w:rPr>
        <w:t xml:space="preserve">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  </w:t>
      </w:r>
      <w:r>
        <w:rPr>
          <w:color w:val="3F4141"/>
        </w:rPr>
        <w:t>ФГОС</w:t>
      </w:r>
      <w:r w:rsidRPr="00845B5C">
        <w:rPr>
          <w:color w:val="3F4141"/>
        </w:rPr>
        <w:t>.</w:t>
      </w:r>
    </w:p>
    <w:p w14:paraId="65FC07B5" w14:textId="2645DA1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   </w:t>
      </w:r>
      <w:r w:rsidRPr="00845B5C">
        <w:rPr>
          <w:color w:val="3F4141"/>
        </w:rPr>
        <w:t xml:space="preserve">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14:paraId="10C0942E" w14:textId="2067CC3A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>
        <w:rPr>
          <w:color w:val="3F4141"/>
        </w:rPr>
        <w:t xml:space="preserve">   </w:t>
      </w:r>
      <w:r w:rsidRPr="00845B5C">
        <w:rPr>
          <w:color w:val="3F4141"/>
        </w:rPr>
        <w:t xml:space="preserve"> При организации инклюзивного образования:</w:t>
      </w:r>
    </w:p>
    <w:p w14:paraId="470171FE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14:paraId="1D7EE97A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14:paraId="28CFBCBF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———————————</w:t>
      </w:r>
    </w:p>
    <w:p w14:paraId="4488B38B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&lt;1&gt; Статья 1 Федерального закона от 24 июля 1998 г. № 124-ФЗ «Об основных гарантиях прав ребенка в Российской Федерации» (Собрание законодательства Российской Федерации, 1998, № 31, ст. 3802; 2004, № 35, ст. 3607; № 52, ст. 5274; 2007, № 27, ст. 3213, 3215; 2009, № 18, ст. 2151; № 51, ст. 6163; 2013, № 14, ст. 1666; № 27, ст. 3477).</w:t>
      </w:r>
    </w:p>
    <w:p w14:paraId="4B5CB243" w14:textId="77777777" w:rsidR="00845B5C" w:rsidRPr="00845B5C" w:rsidRDefault="00845B5C" w:rsidP="00845B5C">
      <w:pPr>
        <w:pStyle w:val="a3"/>
        <w:spacing w:before="0" w:beforeAutospacing="0" w:after="0" w:afterAutospacing="0"/>
        <w:jc w:val="both"/>
        <w:rPr>
          <w:color w:val="3F4141"/>
        </w:rPr>
      </w:pPr>
      <w:r w:rsidRPr="00845B5C">
        <w:rPr>
          <w:color w:val="3F4141"/>
        </w:rPr>
        <w:t> </w:t>
      </w:r>
    </w:p>
    <w:p w14:paraId="51D81C0C" w14:textId="77777777" w:rsidR="00E50E82" w:rsidRPr="00845B5C" w:rsidRDefault="00E50E82" w:rsidP="0084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E82" w:rsidRPr="0084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CB"/>
    <w:rsid w:val="00845B5C"/>
    <w:rsid w:val="00B852CB"/>
    <w:rsid w:val="00E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7E9A"/>
  <w15:chartTrackingRefBased/>
  <w15:docId w15:val="{F0DE5A1E-C8F9-4B1F-9568-E0E37B8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2022-12-02T08:16:00Z</dcterms:created>
  <dcterms:modified xsi:type="dcterms:W3CDTF">2022-12-02T08:18:00Z</dcterms:modified>
</cp:coreProperties>
</file>